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67DB" w14:textId="2257BED0" w:rsidR="00D842C2" w:rsidRPr="00CF2C56" w:rsidRDefault="00940B2D" w:rsidP="001033CB">
      <w:pPr>
        <w:spacing w:line="440" w:lineRule="exact"/>
        <w:jc w:val="both"/>
        <w:rPr>
          <w:rFonts w:ascii="Times New Roman" w:eastAsia="標楷體" w:hAnsi="Times New Roman" w:cs="Times New Roman"/>
          <w:color w:val="000000" w:themeColor="text1"/>
          <w:sz w:val="32"/>
          <w:szCs w:val="28"/>
        </w:rPr>
      </w:pPr>
      <w:r w:rsidRPr="00CF2C56">
        <w:rPr>
          <w:rFonts w:ascii="Times New Roman" w:eastAsia="標楷體" w:hAnsi="Times New Roman" w:cs="Times New Roman"/>
          <w:noProof/>
          <w:color w:val="000000" w:themeColor="text1"/>
          <w:sz w:val="48"/>
          <w:szCs w:val="44"/>
        </w:rPr>
        <mc:AlternateContent>
          <mc:Choice Requires="wps">
            <w:drawing>
              <wp:anchor distT="45720" distB="45720" distL="114300" distR="114300" simplePos="0" relativeHeight="251659264" behindDoc="0" locked="0" layoutInCell="1" allowOverlap="1" wp14:anchorId="42093ABA" wp14:editId="30027192">
                <wp:simplePos x="0" y="0"/>
                <wp:positionH relativeFrom="column">
                  <wp:posOffset>0</wp:posOffset>
                </wp:positionH>
                <wp:positionV relativeFrom="paragraph">
                  <wp:posOffset>-381792</wp:posOffset>
                </wp:positionV>
                <wp:extent cx="712470" cy="1404620"/>
                <wp:effectExtent l="0" t="0" r="11430" b="2032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404620"/>
                        </a:xfrm>
                        <a:prstGeom prst="rect">
                          <a:avLst/>
                        </a:prstGeom>
                        <a:solidFill>
                          <a:srgbClr val="FFFFFF"/>
                        </a:solidFill>
                        <a:ln w="9525">
                          <a:solidFill>
                            <a:srgbClr val="000000"/>
                          </a:solidFill>
                          <a:miter lim="800000"/>
                          <a:headEnd/>
                          <a:tailEnd/>
                        </a:ln>
                      </wps:spPr>
                      <wps:txbx>
                        <w:txbxContent>
                          <w:p w14:paraId="61E102BB" w14:textId="5C3339CB" w:rsidR="00940B2D" w:rsidRPr="00775BFF" w:rsidRDefault="00940B2D" w:rsidP="00940B2D">
                            <w:pPr>
                              <w:spacing w:line="320" w:lineRule="exact"/>
                              <w:rPr>
                                <w:rFonts w:ascii="Times New Roman" w:eastAsia="標楷體" w:hAnsi="Times New Roman" w:cs="Times New Roman"/>
                                <w:sz w:val="28"/>
                                <w:szCs w:val="24"/>
                              </w:rPr>
                            </w:pPr>
                            <w:r w:rsidRPr="00775BFF">
                              <w:rPr>
                                <w:rFonts w:ascii="Times New Roman" w:eastAsia="標楷體" w:hAnsi="Times New Roman" w:cs="Times New Roman"/>
                                <w:sz w:val="28"/>
                                <w:szCs w:val="24"/>
                              </w:rPr>
                              <w:t>附件</w:t>
                            </w:r>
                            <w:r w:rsidR="00D20B04">
                              <w:rPr>
                                <w:rFonts w:ascii="Times New Roman" w:eastAsia="標楷體" w:hAnsi="Times New Roman" w:cs="Times New Roman" w:hint="eastAsia"/>
                                <w:sz w:val="28"/>
                                <w:szCs w:val="24"/>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093ABA" id="_x0000_t202" coordsize="21600,21600" o:spt="202" path="m,l,21600r21600,l21600,xe">
                <v:stroke joinstyle="miter"/>
                <v:path gradientshapeok="t" o:connecttype="rect"/>
              </v:shapetype>
              <v:shape id="文字方塊 2" o:spid="_x0000_s1026" type="#_x0000_t202" style="position:absolute;left:0;text-align:left;margin-left:0;margin-top:-30.05pt;width:56.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">
                <v:textbox style="mso-fit-shape-to-text:t">
                  <w:txbxContent>
                    <w:p w14:paraId="61E102BB" w14:textId="5C3339CB" w:rsidR="00940B2D" w:rsidRPr="00775BFF" w:rsidRDefault="00940B2D" w:rsidP="00940B2D">
                      <w:pPr>
                        <w:spacing w:line="320" w:lineRule="exact"/>
                        <w:rPr>
                          <w:rFonts w:ascii="Times New Roman" w:eastAsia="標楷體" w:hAnsi="Times New Roman" w:cs="Times New Roman"/>
                          <w:sz w:val="28"/>
                          <w:szCs w:val="24"/>
                        </w:rPr>
                      </w:pPr>
                      <w:r w:rsidRPr="00775BFF">
                        <w:rPr>
                          <w:rFonts w:ascii="Times New Roman" w:eastAsia="標楷體" w:hAnsi="Times New Roman" w:cs="Times New Roman"/>
                          <w:sz w:val="28"/>
                          <w:szCs w:val="24"/>
                        </w:rPr>
                        <w:t>附件</w:t>
                      </w:r>
                      <w:r w:rsidR="00D20B04">
                        <w:rPr>
                          <w:rFonts w:ascii="Times New Roman" w:eastAsia="標楷體" w:hAnsi="Times New Roman" w:cs="Times New Roman" w:hint="eastAsia"/>
                          <w:sz w:val="28"/>
                          <w:szCs w:val="24"/>
                        </w:rPr>
                        <w:t>2</w:t>
                      </w:r>
                    </w:p>
                  </w:txbxContent>
                </v:textbox>
              </v:shape>
            </w:pict>
          </mc:Fallback>
        </mc:AlternateContent>
      </w:r>
      <w:r w:rsidR="002504CC" w:rsidRPr="00CF2C56">
        <w:rPr>
          <w:rFonts w:ascii="Times New Roman" w:eastAsia="標楷體" w:hAnsi="Times New Roman" w:cs="Times New Roman" w:hint="eastAsia"/>
          <w:color w:val="000000" w:themeColor="text1"/>
          <w:sz w:val="40"/>
          <w:szCs w:val="36"/>
        </w:rPr>
        <w:t>中華民國證券商業同業公會「承銷商會員輔導發行公司募集與發行有價證券自律規則」</w:t>
      </w:r>
      <w:r w:rsidR="000C67CA" w:rsidRPr="00CF2C56">
        <w:rPr>
          <w:rFonts w:ascii="Times New Roman" w:eastAsia="標楷體" w:hAnsi="Times New Roman" w:cs="Times New Roman" w:hint="eastAsia"/>
          <w:color w:val="000000" w:themeColor="text1"/>
          <w:sz w:val="40"/>
          <w:szCs w:val="36"/>
        </w:rPr>
        <w:t>第七條之一</w:t>
      </w:r>
      <w:r w:rsidR="001033CB" w:rsidRPr="00CF2C56">
        <w:rPr>
          <w:rFonts w:ascii="Times New Roman" w:eastAsia="標楷體" w:hAnsi="Times New Roman" w:cs="Times New Roman" w:hint="eastAsia"/>
          <w:color w:val="000000" w:themeColor="text1"/>
          <w:sz w:val="40"/>
          <w:szCs w:val="36"/>
        </w:rPr>
        <w:t>修正條文對照表</w:t>
      </w:r>
    </w:p>
    <w:tbl>
      <w:tblPr>
        <w:tblStyle w:val="a3"/>
        <w:tblW w:w="9776" w:type="dxa"/>
        <w:tblLook w:val="04A0" w:firstRow="1" w:lastRow="0" w:firstColumn="1" w:lastColumn="0" w:noHBand="0" w:noVBand="1"/>
      </w:tblPr>
      <w:tblGrid>
        <w:gridCol w:w="3754"/>
        <w:gridCol w:w="3754"/>
        <w:gridCol w:w="2268"/>
      </w:tblGrid>
      <w:tr w:rsidR="00D55A8E" w:rsidRPr="00CF2C56" w14:paraId="5FDF3BE1" w14:textId="77777777" w:rsidTr="00940B2D">
        <w:tc>
          <w:tcPr>
            <w:tcW w:w="3754" w:type="dxa"/>
          </w:tcPr>
          <w:p w14:paraId="1E7F392C" w14:textId="43AE6CA2" w:rsidR="00D842C2" w:rsidRPr="00CF2C56" w:rsidRDefault="003D2D1D" w:rsidP="001C489D">
            <w:pPr>
              <w:spacing w:line="440" w:lineRule="exact"/>
              <w:jc w:val="center"/>
              <w:rPr>
                <w:rFonts w:ascii="Times New Roman" w:eastAsia="標楷體" w:hAnsi="Times New Roman" w:cs="Times New Roman"/>
                <w:color w:val="000000" w:themeColor="text1"/>
                <w:szCs w:val="24"/>
              </w:rPr>
            </w:pPr>
            <w:r w:rsidRPr="00CF2C56">
              <w:rPr>
                <w:rFonts w:ascii="Times New Roman" w:eastAsia="標楷體" w:hAnsi="Times New Roman" w:cs="Times New Roman" w:hint="eastAsia"/>
                <w:color w:val="000000" w:themeColor="text1"/>
                <w:szCs w:val="24"/>
              </w:rPr>
              <w:t>修正條文</w:t>
            </w:r>
          </w:p>
        </w:tc>
        <w:tc>
          <w:tcPr>
            <w:tcW w:w="3754" w:type="dxa"/>
          </w:tcPr>
          <w:p w14:paraId="11C10196" w14:textId="41C78253" w:rsidR="00D842C2" w:rsidRPr="00CF2C56" w:rsidRDefault="003D2D1D" w:rsidP="001C489D">
            <w:pPr>
              <w:spacing w:line="440" w:lineRule="exact"/>
              <w:jc w:val="center"/>
              <w:rPr>
                <w:rFonts w:ascii="Times New Roman" w:eastAsia="標楷體" w:hAnsi="Times New Roman" w:cs="Times New Roman"/>
                <w:color w:val="000000" w:themeColor="text1"/>
                <w:szCs w:val="24"/>
              </w:rPr>
            </w:pPr>
            <w:r w:rsidRPr="00CF2C56">
              <w:rPr>
                <w:rFonts w:ascii="Times New Roman" w:eastAsia="標楷體" w:hAnsi="Times New Roman" w:cs="Times New Roman" w:hint="eastAsia"/>
                <w:color w:val="000000" w:themeColor="text1"/>
                <w:szCs w:val="24"/>
              </w:rPr>
              <w:t>現行條文</w:t>
            </w:r>
          </w:p>
        </w:tc>
        <w:tc>
          <w:tcPr>
            <w:tcW w:w="2268" w:type="dxa"/>
          </w:tcPr>
          <w:p w14:paraId="34669E9A" w14:textId="6AB53E8D" w:rsidR="00D842C2" w:rsidRPr="00CF2C56" w:rsidRDefault="003D2D1D" w:rsidP="001C489D">
            <w:pPr>
              <w:spacing w:line="440" w:lineRule="exact"/>
              <w:jc w:val="center"/>
              <w:rPr>
                <w:rFonts w:ascii="Times New Roman" w:eastAsia="標楷體" w:hAnsi="Times New Roman" w:cs="Times New Roman"/>
                <w:color w:val="000000" w:themeColor="text1"/>
                <w:szCs w:val="24"/>
              </w:rPr>
            </w:pPr>
            <w:r w:rsidRPr="00CF2C56">
              <w:rPr>
                <w:rFonts w:ascii="Times New Roman" w:eastAsia="標楷體" w:hAnsi="Times New Roman" w:cs="Times New Roman" w:hint="eastAsia"/>
                <w:color w:val="000000" w:themeColor="text1"/>
                <w:szCs w:val="24"/>
              </w:rPr>
              <w:t>說明</w:t>
            </w:r>
          </w:p>
        </w:tc>
      </w:tr>
      <w:tr w:rsidR="002504CC" w:rsidRPr="00CF2C56" w14:paraId="33913617" w14:textId="77777777" w:rsidTr="00940B2D">
        <w:tc>
          <w:tcPr>
            <w:tcW w:w="3754" w:type="dxa"/>
          </w:tcPr>
          <w:p w14:paraId="5A98F636" w14:textId="51605BFE" w:rsidR="002504CC" w:rsidRPr="00CF2C56" w:rsidRDefault="002504CC" w:rsidP="002504CC">
            <w:pPr>
              <w:spacing w:line="440" w:lineRule="exact"/>
              <w:rPr>
                <w:rFonts w:ascii="Times New Roman" w:eastAsia="標楷體" w:hAnsi="Times New Roman" w:cs="Times New Roman"/>
                <w:color w:val="000000" w:themeColor="text1"/>
                <w:szCs w:val="24"/>
              </w:rPr>
            </w:pPr>
            <w:r w:rsidRPr="00CF2C56">
              <w:rPr>
                <w:rFonts w:ascii="Times New Roman" w:eastAsia="標楷體" w:hAnsi="Times New Roman" w:cs="Times New Roman" w:hint="eastAsia"/>
                <w:color w:val="000000" w:themeColor="text1"/>
                <w:szCs w:val="24"/>
              </w:rPr>
              <w:t>第七條之</w:t>
            </w:r>
            <w:proofErr w:type="gramStart"/>
            <w:r w:rsidRPr="00CF2C56">
              <w:rPr>
                <w:rFonts w:ascii="Times New Roman" w:eastAsia="標楷體" w:hAnsi="Times New Roman" w:cs="Times New Roman" w:hint="eastAsia"/>
                <w:color w:val="000000" w:themeColor="text1"/>
                <w:szCs w:val="24"/>
              </w:rPr>
              <w:t>一</w:t>
            </w:r>
            <w:proofErr w:type="gramEnd"/>
            <w:r w:rsidRPr="00CF2C56">
              <w:rPr>
                <w:rFonts w:ascii="Times New Roman" w:eastAsia="標楷體" w:hAnsi="Times New Roman" w:cs="Times New Roman" w:hint="eastAsia"/>
                <w:color w:val="000000" w:themeColor="text1"/>
                <w:szCs w:val="24"/>
              </w:rPr>
              <w:t xml:space="preserve"> </w:t>
            </w:r>
            <w:r w:rsidRPr="00CF2C56">
              <w:rPr>
                <w:rFonts w:ascii="Times New Roman" w:eastAsia="標楷體" w:hAnsi="Times New Roman" w:cs="Times New Roman"/>
                <w:color w:val="000000" w:themeColor="text1"/>
                <w:szCs w:val="24"/>
              </w:rPr>
              <w:t xml:space="preserve">   </w:t>
            </w:r>
            <w:r w:rsidRPr="00CF2C56">
              <w:rPr>
                <w:rFonts w:ascii="Times New Roman" w:eastAsia="標楷體" w:hAnsi="Times New Roman" w:cs="Times New Roman" w:hint="eastAsia"/>
                <w:color w:val="000000" w:themeColor="text1"/>
                <w:szCs w:val="24"/>
              </w:rPr>
              <w:t>承銷商輔導上櫃</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市</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公司申請轉上市</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櫃</w:t>
            </w:r>
            <w:r w:rsidRPr="00CF2C56">
              <w:rPr>
                <w:rFonts w:ascii="Times New Roman" w:eastAsia="標楷體" w:hAnsi="Times New Roman" w:cs="Times New Roman" w:hint="eastAsia"/>
                <w:color w:val="000000" w:themeColor="text1"/>
                <w:szCs w:val="24"/>
              </w:rPr>
              <w:t>)</w:t>
            </w:r>
            <w:r w:rsidR="005C3471" w:rsidRPr="00CF2C56">
              <w:rPr>
                <w:rFonts w:ascii="Times New Roman" w:eastAsia="標楷體" w:hAnsi="Times New Roman" w:cs="Times New Roman" w:hint="eastAsia"/>
                <w:color w:val="000000" w:themeColor="text1"/>
                <w:szCs w:val="24"/>
                <w:u w:val="single"/>
              </w:rPr>
              <w:t>或</w:t>
            </w:r>
            <w:r w:rsidR="0093798C" w:rsidRPr="00CF2C56">
              <w:rPr>
                <w:rFonts w:ascii="Times New Roman" w:eastAsia="標楷體" w:hAnsi="Times New Roman" w:cs="Times New Roman" w:hint="eastAsia"/>
                <w:color w:val="000000" w:themeColor="text1"/>
                <w:szCs w:val="24"/>
                <w:u w:val="single"/>
              </w:rPr>
              <w:t>轉</w:t>
            </w:r>
            <w:proofErr w:type="gramStart"/>
            <w:r w:rsidR="0093798C" w:rsidRPr="00CF2C56">
              <w:rPr>
                <w:rFonts w:ascii="Times New Roman" w:eastAsia="標楷體" w:hAnsi="Times New Roman" w:cs="Times New Roman" w:hint="eastAsia"/>
                <w:color w:val="000000" w:themeColor="text1"/>
                <w:szCs w:val="24"/>
                <w:u w:val="single"/>
              </w:rPr>
              <w:t>創新板</w:t>
            </w:r>
            <w:r w:rsidR="00913AA9" w:rsidRPr="00CF2C56">
              <w:rPr>
                <w:rFonts w:ascii="Times New Roman" w:eastAsia="標楷體" w:hAnsi="Times New Roman" w:cs="Times New Roman" w:hint="eastAsia"/>
                <w:color w:val="000000" w:themeColor="text1"/>
                <w:szCs w:val="24"/>
                <w:u w:val="single"/>
              </w:rPr>
              <w:t>者</w:t>
            </w:r>
            <w:r w:rsidRPr="00CF2C56">
              <w:rPr>
                <w:rFonts w:ascii="Times New Roman" w:eastAsia="標楷體" w:hAnsi="Times New Roman" w:cs="Times New Roman" w:hint="eastAsia"/>
                <w:color w:val="000000" w:themeColor="text1"/>
                <w:szCs w:val="24"/>
              </w:rPr>
              <w:t>為</w:t>
            </w:r>
            <w:proofErr w:type="gramEnd"/>
            <w:r w:rsidRPr="00CF2C56">
              <w:rPr>
                <w:rFonts w:ascii="Times New Roman" w:eastAsia="標楷體" w:hAnsi="Times New Roman" w:cs="Times New Roman" w:hint="eastAsia"/>
                <w:color w:val="000000" w:themeColor="text1"/>
                <w:szCs w:val="24"/>
              </w:rPr>
              <w:t>達股權分散標準辦理現金增資發行新股之承銷案件</w:t>
            </w:r>
            <w:r w:rsidR="0093798C" w:rsidRPr="00CF2C56">
              <w:rPr>
                <w:rFonts w:ascii="Times New Roman" w:eastAsia="標楷體" w:hAnsi="Times New Roman" w:cs="Times New Roman" w:hint="eastAsia"/>
                <w:color w:val="000000" w:themeColor="text1"/>
                <w:szCs w:val="24"/>
                <w:u w:val="single"/>
              </w:rPr>
              <w:t>，</w:t>
            </w:r>
            <w:r w:rsidRPr="00CF2C56">
              <w:rPr>
                <w:rFonts w:ascii="Times New Roman" w:eastAsia="標楷體" w:hAnsi="Times New Roman" w:cs="Times New Roman" w:hint="eastAsia"/>
                <w:color w:val="000000" w:themeColor="text1"/>
                <w:szCs w:val="24"/>
              </w:rPr>
              <w:t>經股東會決議原股東全數放棄優先認股，</w:t>
            </w:r>
            <w:proofErr w:type="gramStart"/>
            <w:r w:rsidRPr="00CF2C56">
              <w:rPr>
                <w:rFonts w:ascii="Times New Roman" w:eastAsia="標楷體" w:hAnsi="Times New Roman" w:cs="Times New Roman" w:hint="eastAsia"/>
                <w:color w:val="000000" w:themeColor="text1"/>
                <w:szCs w:val="24"/>
              </w:rPr>
              <w:t>採</w:t>
            </w:r>
            <w:proofErr w:type="gramEnd"/>
            <w:r w:rsidRPr="00CF2C56">
              <w:rPr>
                <w:rFonts w:ascii="Times New Roman" w:eastAsia="標楷體" w:hAnsi="Times New Roman" w:cs="Times New Roman" w:hint="eastAsia"/>
                <w:color w:val="000000" w:themeColor="text1"/>
                <w:szCs w:val="24"/>
              </w:rPr>
              <w:t>公開申購方式辦理承銷，其發行價格之訂定，於向金管會</w:t>
            </w:r>
            <w:r w:rsidR="00AE3804" w:rsidRPr="00CF2C56">
              <w:rPr>
                <w:rFonts w:ascii="Times New Roman" w:eastAsia="標楷體" w:hAnsi="Times New Roman" w:cs="Times New Roman" w:hint="eastAsia"/>
                <w:color w:val="000000" w:themeColor="text1"/>
                <w:szCs w:val="24"/>
                <w:u w:val="single"/>
              </w:rPr>
              <w:t>或其委託之機構</w:t>
            </w:r>
            <w:r w:rsidRPr="00CF2C56">
              <w:rPr>
                <w:rFonts w:ascii="Times New Roman" w:eastAsia="標楷體" w:hAnsi="Times New Roman" w:cs="Times New Roman" w:hint="eastAsia"/>
                <w:color w:val="000000" w:themeColor="text1"/>
                <w:szCs w:val="24"/>
              </w:rPr>
              <w:t>申報案件、向本公會申報辦理公開申購公告時，皆不得低於其前一、三、五個營業日擇</w:t>
            </w:r>
            <w:proofErr w:type="gramStart"/>
            <w:r w:rsidRPr="00CF2C56">
              <w:rPr>
                <w:rFonts w:ascii="Times New Roman" w:eastAsia="標楷體" w:hAnsi="Times New Roman" w:cs="Times New Roman" w:hint="eastAsia"/>
                <w:color w:val="000000" w:themeColor="text1"/>
                <w:szCs w:val="24"/>
              </w:rPr>
              <w:t>一</w:t>
            </w:r>
            <w:proofErr w:type="gramEnd"/>
            <w:r w:rsidRPr="00CF2C56">
              <w:rPr>
                <w:rFonts w:ascii="Times New Roman" w:eastAsia="標楷體" w:hAnsi="Times New Roman" w:cs="Times New Roman" w:hint="eastAsia"/>
                <w:color w:val="000000" w:themeColor="text1"/>
                <w:szCs w:val="24"/>
              </w:rPr>
              <w:t>計算之普通股收盤價之簡單算術平均數扣除無償配股除權</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或減資除權</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及除息後平均股價之九成。</w:t>
            </w:r>
          </w:p>
          <w:p w14:paraId="392A60B1" w14:textId="77777777" w:rsidR="002504CC" w:rsidRPr="00CF2C56" w:rsidRDefault="002504CC" w:rsidP="002504CC">
            <w:pPr>
              <w:spacing w:line="440" w:lineRule="exact"/>
              <w:ind w:firstLineChars="200" w:firstLine="480"/>
              <w:rPr>
                <w:rFonts w:ascii="Times New Roman" w:eastAsia="標楷體" w:hAnsi="Times New Roman" w:cs="Times New Roman"/>
                <w:color w:val="000000" w:themeColor="text1"/>
                <w:szCs w:val="24"/>
              </w:rPr>
            </w:pPr>
            <w:r w:rsidRPr="00CF2C56">
              <w:rPr>
                <w:rFonts w:ascii="Times New Roman" w:eastAsia="標楷體" w:hAnsi="Times New Roman" w:cs="Times New Roman" w:hint="eastAsia"/>
                <w:color w:val="000000" w:themeColor="text1"/>
                <w:szCs w:val="24"/>
              </w:rPr>
              <w:t>承銷商輔導發行公司向金管會申報案件時，應載明暫定發行價格、股數區間及因市場變動實際發行價格須依第一項規定調整，並敘明募集資金不足時之處理或募集資金增加時之資金用途及預計效益，承銷商並應就其適法性及合理性評估。</w:t>
            </w:r>
          </w:p>
          <w:p w14:paraId="120920F3" w14:textId="29CC2F6F" w:rsidR="002504CC" w:rsidRPr="00CF2C56" w:rsidRDefault="002504CC" w:rsidP="002504CC">
            <w:pPr>
              <w:spacing w:line="440" w:lineRule="exact"/>
              <w:ind w:firstLineChars="200" w:firstLine="480"/>
              <w:rPr>
                <w:rFonts w:ascii="Times New Roman" w:eastAsia="標楷體" w:hAnsi="Times New Roman" w:cs="Times New Roman"/>
                <w:color w:val="000000" w:themeColor="text1"/>
                <w:szCs w:val="24"/>
              </w:rPr>
            </w:pPr>
            <w:r w:rsidRPr="00CF2C56">
              <w:rPr>
                <w:rFonts w:ascii="Times New Roman" w:eastAsia="標楷體" w:hAnsi="Times New Roman" w:cs="Times New Roman" w:hint="eastAsia"/>
                <w:color w:val="000000" w:themeColor="text1"/>
                <w:szCs w:val="24"/>
              </w:rPr>
              <w:t>承銷商應輔導發行公司於實際發行價格及股數確認後，於公開資訊觀測站中公告實際發行計畫，並更新公開說明書相關內容。</w:t>
            </w:r>
          </w:p>
        </w:tc>
        <w:tc>
          <w:tcPr>
            <w:tcW w:w="3754" w:type="dxa"/>
          </w:tcPr>
          <w:p w14:paraId="7DDA3F2A" w14:textId="5DE4DA69" w:rsidR="002504CC" w:rsidRPr="00CF2C56" w:rsidRDefault="002504CC" w:rsidP="002504CC">
            <w:pPr>
              <w:spacing w:line="440" w:lineRule="exact"/>
              <w:rPr>
                <w:rFonts w:ascii="Times New Roman" w:eastAsia="標楷體" w:hAnsi="Times New Roman" w:cs="Times New Roman"/>
                <w:color w:val="000000" w:themeColor="text1"/>
                <w:szCs w:val="24"/>
              </w:rPr>
            </w:pPr>
            <w:r w:rsidRPr="00CF2C56">
              <w:rPr>
                <w:rFonts w:ascii="Times New Roman" w:eastAsia="標楷體" w:hAnsi="Times New Roman" w:cs="Times New Roman" w:hint="eastAsia"/>
                <w:color w:val="000000" w:themeColor="text1"/>
                <w:szCs w:val="24"/>
              </w:rPr>
              <w:t>第七條之</w:t>
            </w:r>
            <w:proofErr w:type="gramStart"/>
            <w:r w:rsidRPr="00CF2C56">
              <w:rPr>
                <w:rFonts w:ascii="Times New Roman" w:eastAsia="標楷體" w:hAnsi="Times New Roman" w:cs="Times New Roman" w:hint="eastAsia"/>
                <w:color w:val="000000" w:themeColor="text1"/>
                <w:szCs w:val="24"/>
              </w:rPr>
              <w:t>一</w:t>
            </w:r>
            <w:proofErr w:type="gramEnd"/>
            <w:r w:rsidRPr="00CF2C56">
              <w:rPr>
                <w:rFonts w:ascii="Times New Roman" w:eastAsia="標楷體" w:hAnsi="Times New Roman" w:cs="Times New Roman" w:hint="eastAsia"/>
                <w:color w:val="000000" w:themeColor="text1"/>
                <w:szCs w:val="24"/>
              </w:rPr>
              <w:t xml:space="preserve"> </w:t>
            </w:r>
            <w:r w:rsidRPr="00CF2C56">
              <w:rPr>
                <w:rFonts w:ascii="Times New Roman" w:eastAsia="標楷體" w:hAnsi="Times New Roman" w:cs="Times New Roman"/>
                <w:color w:val="000000" w:themeColor="text1"/>
                <w:szCs w:val="24"/>
              </w:rPr>
              <w:t xml:space="preserve">   </w:t>
            </w:r>
            <w:r w:rsidRPr="00CF2C56">
              <w:rPr>
                <w:rFonts w:ascii="Times New Roman" w:eastAsia="標楷體" w:hAnsi="Times New Roman" w:cs="Times New Roman" w:hint="eastAsia"/>
                <w:color w:val="000000" w:themeColor="text1"/>
                <w:szCs w:val="24"/>
              </w:rPr>
              <w:t>承銷商輔導上櫃</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市</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公司申請轉上市</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櫃</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為達股權分散標準辦理現金增資發行新股之承銷案件經股東會決議原股東全數放棄優先認股，</w:t>
            </w:r>
            <w:proofErr w:type="gramStart"/>
            <w:r w:rsidRPr="00CF2C56">
              <w:rPr>
                <w:rFonts w:ascii="Times New Roman" w:eastAsia="標楷體" w:hAnsi="Times New Roman" w:cs="Times New Roman" w:hint="eastAsia"/>
                <w:color w:val="000000" w:themeColor="text1"/>
                <w:szCs w:val="24"/>
              </w:rPr>
              <w:t>採</w:t>
            </w:r>
            <w:proofErr w:type="gramEnd"/>
            <w:r w:rsidRPr="00CF2C56">
              <w:rPr>
                <w:rFonts w:ascii="Times New Roman" w:eastAsia="標楷體" w:hAnsi="Times New Roman" w:cs="Times New Roman" w:hint="eastAsia"/>
                <w:color w:val="000000" w:themeColor="text1"/>
                <w:szCs w:val="24"/>
              </w:rPr>
              <w:t>公開申購方式辦理承銷，其發行價格之訂定，於向金管會申報案件、向本公會申報辦理公開申購公告時，皆不得低於其前一、三、五個營業日擇</w:t>
            </w:r>
            <w:proofErr w:type="gramStart"/>
            <w:r w:rsidRPr="00CF2C56">
              <w:rPr>
                <w:rFonts w:ascii="Times New Roman" w:eastAsia="標楷體" w:hAnsi="Times New Roman" w:cs="Times New Roman" w:hint="eastAsia"/>
                <w:color w:val="000000" w:themeColor="text1"/>
                <w:szCs w:val="24"/>
              </w:rPr>
              <w:t>一</w:t>
            </w:r>
            <w:proofErr w:type="gramEnd"/>
            <w:r w:rsidRPr="00CF2C56">
              <w:rPr>
                <w:rFonts w:ascii="Times New Roman" w:eastAsia="標楷體" w:hAnsi="Times New Roman" w:cs="Times New Roman" w:hint="eastAsia"/>
                <w:color w:val="000000" w:themeColor="text1"/>
                <w:szCs w:val="24"/>
              </w:rPr>
              <w:t>計算之普通股收盤價之簡單算術平均數扣除無償配股除權</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或減資除權</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及除息後平均股價之九成。</w:t>
            </w:r>
          </w:p>
          <w:p w14:paraId="38B62A57" w14:textId="77777777" w:rsidR="002504CC" w:rsidRPr="00CF2C56" w:rsidRDefault="002504CC" w:rsidP="002504CC">
            <w:pPr>
              <w:spacing w:line="440" w:lineRule="exact"/>
              <w:ind w:firstLineChars="200" w:firstLine="480"/>
              <w:rPr>
                <w:rFonts w:ascii="Times New Roman" w:eastAsia="標楷體" w:hAnsi="Times New Roman" w:cs="Times New Roman"/>
                <w:color w:val="000000" w:themeColor="text1"/>
                <w:szCs w:val="24"/>
              </w:rPr>
            </w:pPr>
            <w:r w:rsidRPr="00CF2C56">
              <w:rPr>
                <w:rFonts w:ascii="Times New Roman" w:eastAsia="標楷體" w:hAnsi="Times New Roman" w:cs="Times New Roman" w:hint="eastAsia"/>
                <w:color w:val="000000" w:themeColor="text1"/>
                <w:szCs w:val="24"/>
              </w:rPr>
              <w:t>承銷商輔導發行公司向金管會申報案件時，應載明暫定發行價格、股數區間及因市場變動實際發行價格須依第一項規定調整，並敘明募集資金不足時之處理或募集資金增加時之資金用途及預計效益，承銷商並應就其適法性及合理性評估。</w:t>
            </w:r>
          </w:p>
          <w:p w14:paraId="0341C793" w14:textId="3F831DA7" w:rsidR="002504CC" w:rsidRPr="00CF2C56" w:rsidRDefault="002504CC" w:rsidP="00380A14">
            <w:pPr>
              <w:spacing w:line="440" w:lineRule="exact"/>
              <w:ind w:firstLineChars="200" w:firstLine="480"/>
              <w:rPr>
                <w:rFonts w:ascii="Times New Roman" w:eastAsia="標楷體" w:hAnsi="Times New Roman" w:cs="Times New Roman"/>
                <w:color w:val="000000" w:themeColor="text1"/>
                <w:szCs w:val="24"/>
              </w:rPr>
            </w:pPr>
            <w:r w:rsidRPr="00CF2C56">
              <w:rPr>
                <w:rFonts w:ascii="Times New Roman" w:eastAsia="標楷體" w:hAnsi="Times New Roman" w:cs="Times New Roman" w:hint="eastAsia"/>
                <w:color w:val="000000" w:themeColor="text1"/>
                <w:szCs w:val="24"/>
              </w:rPr>
              <w:t>承銷商應輔導發行公司於實際發行價格及股數確認後，於公開資訊觀測站中公告實際發行計畫，並更新公開說明書相關內容。</w:t>
            </w:r>
          </w:p>
        </w:tc>
        <w:tc>
          <w:tcPr>
            <w:tcW w:w="2268" w:type="dxa"/>
          </w:tcPr>
          <w:p w14:paraId="0D91F5D9" w14:textId="153785E4" w:rsidR="002504CC" w:rsidRPr="00CF2C56" w:rsidRDefault="002504CC" w:rsidP="00D409C2">
            <w:pPr>
              <w:spacing w:line="440" w:lineRule="exact"/>
              <w:jc w:val="both"/>
              <w:rPr>
                <w:rFonts w:ascii="Times New Roman" w:eastAsia="標楷體" w:hAnsi="Times New Roman" w:cs="Times New Roman"/>
                <w:color w:val="000000" w:themeColor="text1"/>
                <w:szCs w:val="24"/>
              </w:rPr>
            </w:pPr>
            <w:r w:rsidRPr="00CF2C56">
              <w:rPr>
                <w:rFonts w:ascii="Times New Roman" w:eastAsia="標楷體" w:hAnsi="Times New Roman" w:cs="Times New Roman" w:hint="eastAsia"/>
                <w:color w:val="000000" w:themeColor="text1"/>
                <w:szCs w:val="24"/>
              </w:rPr>
              <w:t>配合開放上市</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櫃</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公司</w:t>
            </w:r>
            <w:r w:rsidR="0093798C" w:rsidRPr="00CF2C56">
              <w:rPr>
                <w:rFonts w:ascii="Times New Roman" w:eastAsia="標楷體" w:hAnsi="Times New Roman" w:cs="Times New Roman" w:hint="eastAsia"/>
                <w:color w:val="000000" w:themeColor="text1"/>
                <w:szCs w:val="24"/>
              </w:rPr>
              <w:t>得</w:t>
            </w:r>
            <w:r w:rsidRPr="00CF2C56">
              <w:rPr>
                <w:rFonts w:ascii="Times New Roman" w:eastAsia="標楷體" w:hAnsi="Times New Roman" w:cs="Times New Roman" w:hint="eastAsia"/>
                <w:color w:val="000000" w:themeColor="text1"/>
                <w:szCs w:val="24"/>
              </w:rPr>
              <w:t>申請轉創新板，</w:t>
            </w:r>
            <w:proofErr w:type="gramStart"/>
            <w:r w:rsidRPr="00CF2C56">
              <w:rPr>
                <w:rFonts w:ascii="Times New Roman" w:eastAsia="標楷體" w:hAnsi="Times New Roman" w:cs="Times New Roman" w:hint="eastAsia"/>
                <w:color w:val="000000" w:themeColor="text1"/>
                <w:szCs w:val="24"/>
              </w:rPr>
              <w:t>爰</w:t>
            </w:r>
            <w:proofErr w:type="gramEnd"/>
            <w:r w:rsidRPr="00CF2C56">
              <w:rPr>
                <w:rFonts w:ascii="Times New Roman" w:eastAsia="標楷體" w:hAnsi="Times New Roman" w:cs="Times New Roman" w:hint="eastAsia"/>
                <w:color w:val="000000" w:themeColor="text1"/>
                <w:szCs w:val="24"/>
              </w:rPr>
              <w:t>修正第</w:t>
            </w:r>
            <w:r w:rsidR="0093798C" w:rsidRPr="00CF2C56">
              <w:rPr>
                <w:rFonts w:ascii="Times New Roman" w:eastAsia="標楷體" w:hAnsi="Times New Roman" w:cs="Times New Roman" w:hint="eastAsia"/>
                <w:color w:val="000000" w:themeColor="text1"/>
                <w:szCs w:val="24"/>
              </w:rPr>
              <w:t>一</w:t>
            </w:r>
            <w:r w:rsidRPr="00CF2C56">
              <w:rPr>
                <w:rFonts w:ascii="Times New Roman" w:eastAsia="標楷體" w:hAnsi="Times New Roman" w:cs="Times New Roman" w:hint="eastAsia"/>
                <w:color w:val="000000" w:themeColor="text1"/>
                <w:szCs w:val="24"/>
              </w:rPr>
              <w:t>項，比照</w:t>
            </w:r>
            <w:proofErr w:type="gramStart"/>
            <w:r w:rsidRPr="00CF2C56">
              <w:rPr>
                <w:rFonts w:ascii="Times New Roman" w:eastAsia="標楷體" w:hAnsi="Times New Roman" w:cs="Times New Roman" w:hint="eastAsia"/>
                <w:color w:val="000000" w:themeColor="text1"/>
                <w:szCs w:val="24"/>
              </w:rPr>
              <w:t>櫃轉市案件</w:t>
            </w:r>
            <w:proofErr w:type="gramEnd"/>
            <w:r w:rsidRPr="00CF2C56">
              <w:rPr>
                <w:rFonts w:ascii="Times New Roman" w:eastAsia="標楷體" w:hAnsi="Times New Roman" w:cs="Times New Roman" w:hint="eastAsia"/>
                <w:color w:val="000000" w:themeColor="text1"/>
                <w:szCs w:val="24"/>
              </w:rPr>
              <w:t>，</w:t>
            </w:r>
            <w:r w:rsidR="00061435" w:rsidRPr="00CF2C56">
              <w:rPr>
                <w:rFonts w:ascii="Times New Roman" w:eastAsia="標楷體" w:hAnsi="Times New Roman" w:cs="Times New Roman" w:hint="eastAsia"/>
                <w:color w:val="000000" w:themeColor="text1"/>
                <w:szCs w:val="24"/>
              </w:rPr>
              <w:t>明定</w:t>
            </w:r>
            <w:r w:rsidRPr="00CF2C56">
              <w:rPr>
                <w:rFonts w:ascii="Times New Roman" w:eastAsia="標楷體" w:hAnsi="Times New Roman" w:cs="Times New Roman" w:hint="eastAsia"/>
                <w:color w:val="000000" w:themeColor="text1"/>
                <w:szCs w:val="24"/>
              </w:rPr>
              <w:t>上市</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櫃</w:t>
            </w:r>
            <w:r w:rsidRPr="00CF2C56">
              <w:rPr>
                <w:rFonts w:ascii="Times New Roman" w:eastAsia="標楷體" w:hAnsi="Times New Roman" w:cs="Times New Roman" w:hint="eastAsia"/>
                <w:color w:val="000000" w:themeColor="text1"/>
                <w:szCs w:val="24"/>
              </w:rPr>
              <w:t>)</w:t>
            </w:r>
            <w:r w:rsidRPr="00CF2C56">
              <w:rPr>
                <w:rFonts w:ascii="Times New Roman" w:eastAsia="標楷體" w:hAnsi="Times New Roman" w:cs="Times New Roman" w:hint="eastAsia"/>
                <w:color w:val="000000" w:themeColor="text1"/>
                <w:szCs w:val="24"/>
              </w:rPr>
              <w:t>轉創新板</w:t>
            </w:r>
            <w:r w:rsidR="0093798C" w:rsidRPr="00CF2C56">
              <w:rPr>
                <w:rFonts w:ascii="Times New Roman" w:eastAsia="標楷體" w:hAnsi="Times New Roman" w:cs="Times New Roman" w:hint="eastAsia"/>
                <w:color w:val="000000" w:themeColor="text1"/>
                <w:szCs w:val="24"/>
              </w:rPr>
              <w:t>承銷案件發行價格之訂定方式。</w:t>
            </w:r>
          </w:p>
        </w:tc>
      </w:tr>
    </w:tbl>
    <w:p w14:paraId="0CEDE1C8" w14:textId="77777777" w:rsidR="00D842C2" w:rsidRPr="00CF2C56" w:rsidRDefault="00D842C2" w:rsidP="00940B2D">
      <w:pPr>
        <w:spacing w:line="80" w:lineRule="exact"/>
        <w:rPr>
          <w:color w:val="000000" w:themeColor="text1"/>
        </w:rPr>
      </w:pPr>
    </w:p>
    <w:sectPr w:rsidR="00D842C2" w:rsidRPr="00CF2C56" w:rsidSect="00940B2D">
      <w:footerReference w:type="default" r:id="rId7"/>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66EF1" w14:textId="77777777" w:rsidR="00D16378" w:rsidRDefault="00D16378" w:rsidP="001033CB">
      <w:r>
        <w:separator/>
      </w:r>
    </w:p>
  </w:endnote>
  <w:endnote w:type="continuationSeparator" w:id="0">
    <w:p w14:paraId="5BDE1486" w14:textId="77777777" w:rsidR="00D16378" w:rsidRDefault="00D16378" w:rsidP="0010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546994"/>
      <w:docPartObj>
        <w:docPartGallery w:val="Page Numbers (Bottom of Page)"/>
        <w:docPartUnique/>
      </w:docPartObj>
    </w:sdtPr>
    <w:sdtContent>
      <w:p w14:paraId="6E4630F1" w14:textId="491E86DC" w:rsidR="00940B2D" w:rsidRDefault="00940B2D">
        <w:pPr>
          <w:pStyle w:val="a8"/>
          <w:jc w:val="center"/>
        </w:pPr>
        <w:r>
          <w:fldChar w:fldCharType="begin"/>
        </w:r>
        <w:r>
          <w:instrText>PAGE   \* MERGEFORMAT</w:instrText>
        </w:r>
        <w:r>
          <w:fldChar w:fldCharType="separate"/>
        </w:r>
        <w:r>
          <w:rPr>
            <w:lang w:val="zh-TW"/>
          </w:rPr>
          <w:t>2</w:t>
        </w:r>
        <w:r>
          <w:fldChar w:fldCharType="end"/>
        </w:r>
      </w:p>
    </w:sdtContent>
  </w:sdt>
  <w:p w14:paraId="01B46CDA" w14:textId="77777777" w:rsidR="001033CB" w:rsidRDefault="001033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134E3" w14:textId="77777777" w:rsidR="00D16378" w:rsidRDefault="00D16378" w:rsidP="001033CB">
      <w:r>
        <w:separator/>
      </w:r>
    </w:p>
  </w:footnote>
  <w:footnote w:type="continuationSeparator" w:id="0">
    <w:p w14:paraId="4F19AA0C" w14:textId="77777777" w:rsidR="00D16378" w:rsidRDefault="00D16378" w:rsidP="00103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3B6"/>
    <w:multiLevelType w:val="multilevel"/>
    <w:tmpl w:val="9E825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92CBC"/>
    <w:multiLevelType w:val="hybridMultilevel"/>
    <w:tmpl w:val="168E9B66"/>
    <w:lvl w:ilvl="0" w:tplc="9BE63F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244D20"/>
    <w:multiLevelType w:val="multilevel"/>
    <w:tmpl w:val="26FC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6E3723"/>
    <w:multiLevelType w:val="multilevel"/>
    <w:tmpl w:val="16700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04315E"/>
    <w:multiLevelType w:val="multilevel"/>
    <w:tmpl w:val="60365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005717">
    <w:abstractNumId w:val="2"/>
  </w:num>
  <w:num w:numId="2" w16cid:durableId="1509641416">
    <w:abstractNumId w:val="0"/>
  </w:num>
  <w:num w:numId="3" w16cid:durableId="1195851570">
    <w:abstractNumId w:val="3"/>
  </w:num>
  <w:num w:numId="4" w16cid:durableId="470558718">
    <w:abstractNumId w:val="4"/>
  </w:num>
  <w:num w:numId="5" w16cid:durableId="1998916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C2"/>
    <w:rsid w:val="000063FA"/>
    <w:rsid w:val="00061435"/>
    <w:rsid w:val="000626ED"/>
    <w:rsid w:val="000C5D4E"/>
    <w:rsid w:val="000C67CA"/>
    <w:rsid w:val="001033CB"/>
    <w:rsid w:val="0013400B"/>
    <w:rsid w:val="001C489D"/>
    <w:rsid w:val="001D2B52"/>
    <w:rsid w:val="001D76A0"/>
    <w:rsid w:val="002504CC"/>
    <w:rsid w:val="00273734"/>
    <w:rsid w:val="00277F55"/>
    <w:rsid w:val="00280755"/>
    <w:rsid w:val="00380A14"/>
    <w:rsid w:val="003D2D1D"/>
    <w:rsid w:val="00416A77"/>
    <w:rsid w:val="0049708D"/>
    <w:rsid w:val="005365A4"/>
    <w:rsid w:val="005C3471"/>
    <w:rsid w:val="00647805"/>
    <w:rsid w:val="0067115C"/>
    <w:rsid w:val="007042CA"/>
    <w:rsid w:val="00775BFF"/>
    <w:rsid w:val="00852861"/>
    <w:rsid w:val="00895178"/>
    <w:rsid w:val="00913AA9"/>
    <w:rsid w:val="0093798C"/>
    <w:rsid w:val="00940B2D"/>
    <w:rsid w:val="0097772F"/>
    <w:rsid w:val="00A5141D"/>
    <w:rsid w:val="00AB51DA"/>
    <w:rsid w:val="00AE3804"/>
    <w:rsid w:val="00B50063"/>
    <w:rsid w:val="00B67D19"/>
    <w:rsid w:val="00C00FBE"/>
    <w:rsid w:val="00CF2C56"/>
    <w:rsid w:val="00D16378"/>
    <w:rsid w:val="00D20B04"/>
    <w:rsid w:val="00D409C2"/>
    <w:rsid w:val="00D55A8E"/>
    <w:rsid w:val="00D842C2"/>
    <w:rsid w:val="00D94AA6"/>
    <w:rsid w:val="00DB3264"/>
    <w:rsid w:val="00E11B11"/>
    <w:rsid w:val="00ED01AE"/>
    <w:rsid w:val="00EE0E09"/>
    <w:rsid w:val="00F11458"/>
    <w:rsid w:val="00F203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E35BB"/>
  <w15:chartTrackingRefBased/>
  <w15:docId w15:val="{F01A039D-649D-4965-BAD9-688ED062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11B11"/>
    <w:rPr>
      <w:color w:val="0000FF"/>
      <w:u w:val="single"/>
    </w:rPr>
  </w:style>
  <w:style w:type="paragraph" w:styleId="a5">
    <w:name w:val="List Paragraph"/>
    <w:basedOn w:val="a"/>
    <w:uiPriority w:val="34"/>
    <w:qFormat/>
    <w:rsid w:val="00B50063"/>
    <w:pPr>
      <w:ind w:leftChars="200" w:left="480"/>
    </w:pPr>
  </w:style>
  <w:style w:type="paragraph" w:styleId="a6">
    <w:name w:val="header"/>
    <w:basedOn w:val="a"/>
    <w:link w:val="a7"/>
    <w:uiPriority w:val="99"/>
    <w:unhideWhenUsed/>
    <w:rsid w:val="001033CB"/>
    <w:pPr>
      <w:tabs>
        <w:tab w:val="center" w:pos="4153"/>
        <w:tab w:val="right" w:pos="8306"/>
      </w:tabs>
      <w:snapToGrid w:val="0"/>
    </w:pPr>
    <w:rPr>
      <w:sz w:val="20"/>
      <w:szCs w:val="20"/>
    </w:rPr>
  </w:style>
  <w:style w:type="character" w:customStyle="1" w:styleId="a7">
    <w:name w:val="頁首 字元"/>
    <w:basedOn w:val="a0"/>
    <w:link w:val="a6"/>
    <w:uiPriority w:val="99"/>
    <w:rsid w:val="001033CB"/>
    <w:rPr>
      <w:sz w:val="20"/>
      <w:szCs w:val="20"/>
    </w:rPr>
  </w:style>
  <w:style w:type="paragraph" w:styleId="a8">
    <w:name w:val="footer"/>
    <w:basedOn w:val="a"/>
    <w:link w:val="a9"/>
    <w:uiPriority w:val="99"/>
    <w:unhideWhenUsed/>
    <w:rsid w:val="001033CB"/>
    <w:pPr>
      <w:tabs>
        <w:tab w:val="center" w:pos="4153"/>
        <w:tab w:val="right" w:pos="8306"/>
      </w:tabs>
      <w:snapToGrid w:val="0"/>
    </w:pPr>
    <w:rPr>
      <w:sz w:val="20"/>
      <w:szCs w:val="20"/>
    </w:rPr>
  </w:style>
  <w:style w:type="character" w:customStyle="1" w:styleId="a9">
    <w:name w:val="頁尾 字元"/>
    <w:basedOn w:val="a0"/>
    <w:link w:val="a8"/>
    <w:uiPriority w:val="99"/>
    <w:rsid w:val="001033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96018">
      <w:bodyDiv w:val="1"/>
      <w:marLeft w:val="0"/>
      <w:marRight w:val="0"/>
      <w:marTop w:val="0"/>
      <w:marBottom w:val="0"/>
      <w:divBdr>
        <w:top w:val="none" w:sz="0" w:space="0" w:color="auto"/>
        <w:left w:val="none" w:sz="0" w:space="0" w:color="auto"/>
        <w:bottom w:val="none" w:sz="0" w:space="0" w:color="auto"/>
        <w:right w:val="none" w:sz="0" w:space="0" w:color="auto"/>
      </w:divBdr>
      <w:divsChild>
        <w:div w:id="1774283140">
          <w:marLeft w:val="0"/>
          <w:marRight w:val="0"/>
          <w:marTop w:val="0"/>
          <w:marBottom w:val="0"/>
          <w:divBdr>
            <w:top w:val="none" w:sz="0" w:space="0" w:color="auto"/>
            <w:left w:val="none" w:sz="0" w:space="0" w:color="auto"/>
            <w:bottom w:val="none" w:sz="0" w:space="0" w:color="auto"/>
            <w:right w:val="none" w:sz="0" w:space="0" w:color="auto"/>
          </w:divBdr>
        </w:div>
        <w:div w:id="2138797582">
          <w:marLeft w:val="0"/>
          <w:marRight w:val="0"/>
          <w:marTop w:val="0"/>
          <w:marBottom w:val="0"/>
          <w:divBdr>
            <w:top w:val="none" w:sz="0" w:space="0" w:color="auto"/>
            <w:left w:val="none" w:sz="0" w:space="0" w:color="auto"/>
            <w:bottom w:val="none" w:sz="0" w:space="0" w:color="auto"/>
            <w:right w:val="none" w:sz="0" w:space="0" w:color="auto"/>
          </w:divBdr>
        </w:div>
        <w:div w:id="674649358">
          <w:marLeft w:val="0"/>
          <w:marRight w:val="0"/>
          <w:marTop w:val="0"/>
          <w:marBottom w:val="0"/>
          <w:divBdr>
            <w:top w:val="none" w:sz="0" w:space="0" w:color="auto"/>
            <w:left w:val="none" w:sz="0" w:space="0" w:color="auto"/>
            <w:bottom w:val="none" w:sz="0" w:space="0" w:color="auto"/>
            <w:right w:val="none" w:sz="0" w:space="0" w:color="auto"/>
          </w:divBdr>
        </w:div>
        <w:div w:id="564685201">
          <w:marLeft w:val="0"/>
          <w:marRight w:val="0"/>
          <w:marTop w:val="0"/>
          <w:marBottom w:val="0"/>
          <w:divBdr>
            <w:top w:val="none" w:sz="0" w:space="0" w:color="auto"/>
            <w:left w:val="none" w:sz="0" w:space="0" w:color="auto"/>
            <w:bottom w:val="none" w:sz="0" w:space="0" w:color="auto"/>
            <w:right w:val="none" w:sz="0" w:space="0" w:color="auto"/>
          </w:divBdr>
        </w:div>
      </w:divsChild>
    </w:div>
    <w:div w:id="1163860525">
      <w:bodyDiv w:val="1"/>
      <w:marLeft w:val="0"/>
      <w:marRight w:val="0"/>
      <w:marTop w:val="0"/>
      <w:marBottom w:val="0"/>
      <w:divBdr>
        <w:top w:val="none" w:sz="0" w:space="0" w:color="auto"/>
        <w:left w:val="none" w:sz="0" w:space="0" w:color="auto"/>
        <w:bottom w:val="none" w:sz="0" w:space="0" w:color="auto"/>
        <w:right w:val="none" w:sz="0" w:space="0" w:color="auto"/>
      </w:divBdr>
      <w:divsChild>
        <w:div w:id="1026249270">
          <w:marLeft w:val="0"/>
          <w:marRight w:val="0"/>
          <w:marTop w:val="0"/>
          <w:marBottom w:val="0"/>
          <w:divBdr>
            <w:top w:val="none" w:sz="0" w:space="0" w:color="auto"/>
            <w:left w:val="none" w:sz="0" w:space="0" w:color="auto"/>
            <w:bottom w:val="none" w:sz="0" w:space="0" w:color="auto"/>
            <w:right w:val="none" w:sz="0" w:space="0" w:color="auto"/>
          </w:divBdr>
        </w:div>
        <w:div w:id="92846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鍾韻琳</dc:creator>
  <cp:keywords/>
  <dc:description/>
  <cp:lastModifiedBy>鍾韻琳</cp:lastModifiedBy>
  <cp:revision>19</cp:revision>
  <cp:lastPrinted>2025-11-14T03:11:00Z</cp:lastPrinted>
  <dcterms:created xsi:type="dcterms:W3CDTF">2025-11-10T05:14:00Z</dcterms:created>
  <dcterms:modified xsi:type="dcterms:W3CDTF">2026-01-07T03:02:00Z</dcterms:modified>
</cp:coreProperties>
</file>